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23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2619375</wp:posOffset>
            </wp:positionH>
            <wp:positionV relativeFrom="paragraph">
              <wp:posOffset>32557</wp:posOffset>
            </wp:positionV>
            <wp:extent cx="2315210" cy="889000"/>
            <wp:effectExtent b="0" l="0" r="0" t="0"/>
            <wp:wrapNone/>
            <wp:docPr id="21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889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91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480"/>
          <w:tab w:val="left" w:leader="none" w:pos="9000"/>
        </w:tabs>
        <w:ind w:left="9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8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019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DROŠĪBAS DATU LAPA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99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03" w:lineRule="auto"/>
        <w:ind w:left="1900" w:right="1760" w:firstLine="801.0000000000002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The Pink Stuff izsmidzināms multifunkcionāls tīrīšanas līdzeklis 750ml SASKAŅĀ AR EK REGULUM 1907/2006 (REACH), 1272/2008 (CLP) UN 2020/878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6934200</wp:posOffset>
                </wp:positionH>
                <wp:positionV relativeFrom="paragraph">
                  <wp:posOffset>203200</wp:posOffset>
                </wp:positionV>
                <wp:extent cx="0" cy="196850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6934200</wp:posOffset>
                </wp:positionH>
                <wp:positionV relativeFrom="paragraph">
                  <wp:posOffset>203200</wp:posOffset>
                </wp:positionV>
                <wp:extent cx="0" cy="196850"/>
                <wp:effectExtent b="0" l="0" r="0" t="0"/>
                <wp:wrapNone/>
                <wp:docPr id="12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2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211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203200</wp:posOffset>
                </wp:positionV>
                <wp:extent cx="0" cy="196850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203200</wp:posOffset>
                </wp:positionV>
                <wp:extent cx="0" cy="196850"/>
                <wp:effectExtent b="0" l="0" r="0" t="0"/>
                <wp:wrapNone/>
                <wp:docPr id="13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381000</wp:posOffset>
                </wp:positionV>
                <wp:extent cx="0" cy="12700"/>
                <wp:effectExtent b="0" l="0" r="0" t="0"/>
                <wp:wrapNone/>
                <wp:docPr id="175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4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89165</wp:posOffset>
                </wp:positionV>
                <wp:extent cx="6423025" cy="200025"/>
                <wp:effectExtent b="0" l="0" r="0" t="0"/>
                <wp:wrapNone/>
                <wp:docPr id="182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2139250" y="3684750"/>
                          <a:ext cx="6413500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89165</wp:posOffset>
                </wp:positionV>
                <wp:extent cx="6423025" cy="200025"/>
                <wp:effectExtent b="0" l="0" r="0" t="0"/>
                <wp:wrapNone/>
                <wp:docPr id="182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1. IEDAĻA. Vielas/maisījuma un uzņēmuma/uzņēmuma identifikācija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60.0" w:type="dxa"/>
        <w:jc w:val="left"/>
        <w:tblInd w:w="880.0" w:type="dxa"/>
        <w:tblLayout w:type="fixed"/>
        <w:tblLook w:val="0400"/>
      </w:tblPr>
      <w:tblGrid>
        <w:gridCol w:w="1700"/>
        <w:gridCol w:w="5360"/>
        <w:tblGridChange w:id="0">
          <w:tblGrid>
            <w:gridCol w:w="1700"/>
            <w:gridCol w:w="53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1.1. Produkta identifikators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Produkta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The Pink Stuff izsmidzināms multifunkcionāls tīrīšanas līdzeklis 750ml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Produkta numurs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BLE625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UFI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UFI: 0TW8-Q3JV-E00E-7K5U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194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248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1.2. Vielas vai maisījuma attiecīgi apzinātie lietošanas veidi un lietošanas veidi, ko neiesaka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63518" y="3777619"/>
                          <a:ext cx="41649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0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171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264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Tīrīšanas līdzeklis.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2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40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Izmantojiet tikai paredzētajam lietojumam.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1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1.3. Informācija par drošības datu lapas piegādātāju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6635" y="3777619"/>
                          <a:ext cx="253873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line="149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380"/>
        </w:tabs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Piegādātājs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Star Brands EU, c/o Allegro,</w:t>
      </w:r>
    </w:p>
    <w:p w:rsidR="00000000" w:rsidDel="00000000" w:rsidP="00000000" w:rsidRDefault="00000000" w:rsidRPr="00000000" w14:paraId="0000002A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Innovation Factory, Bellfāsta,</w:t>
      </w:r>
    </w:p>
    <w:p w:rsidR="00000000" w:rsidDel="00000000" w:rsidP="00000000" w:rsidRDefault="00000000" w:rsidRPr="00000000" w14:paraId="0000002B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BT12 7DG</w:t>
      </w:r>
    </w:p>
    <w:p w:rsidR="00000000" w:rsidDel="00000000" w:rsidP="00000000" w:rsidRDefault="00000000" w:rsidRPr="00000000" w14:paraId="0000002C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Star Brands Limited</w:t>
      </w:r>
    </w:p>
    <w:p w:rsidR="00000000" w:rsidDel="00000000" w:rsidP="00000000" w:rsidRDefault="00000000" w:rsidRPr="00000000" w14:paraId="0000002D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1175 Thorpe Park,</w:t>
      </w:r>
    </w:p>
    <w:p w:rsidR="00000000" w:rsidDel="00000000" w:rsidP="00000000" w:rsidRDefault="00000000" w:rsidRPr="00000000" w14:paraId="0000002E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Century Way,</w:t>
      </w:r>
    </w:p>
    <w:p w:rsidR="00000000" w:rsidDel="00000000" w:rsidP="00000000" w:rsidRDefault="00000000" w:rsidRPr="00000000" w14:paraId="0000002F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Leeds,</w:t>
      </w:r>
    </w:p>
    <w:p w:rsidR="00000000" w:rsidDel="00000000" w:rsidP="00000000" w:rsidRDefault="00000000" w:rsidRPr="00000000" w14:paraId="00000030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LS15 8ZB</w:t>
      </w:r>
    </w:p>
    <w:p w:rsidR="00000000" w:rsidDel="00000000" w:rsidP="00000000" w:rsidRDefault="00000000" w:rsidRPr="00000000" w14:paraId="00000031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Apvienotā Karaliste</w:t>
      </w:r>
    </w:p>
    <w:p w:rsidR="00000000" w:rsidDel="00000000" w:rsidP="00000000" w:rsidRDefault="00000000" w:rsidRPr="00000000" w14:paraId="00000032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Anglija</w:t>
      </w:r>
    </w:p>
    <w:p w:rsidR="00000000" w:rsidDel="00000000" w:rsidP="00000000" w:rsidRDefault="00000000" w:rsidRPr="00000000" w14:paraId="00000033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+44 (0) 113 2666 300</w:t>
      </w:r>
    </w:p>
    <w:p w:rsidR="00000000" w:rsidDel="00000000" w:rsidP="00000000" w:rsidRDefault="00000000" w:rsidRPr="00000000" w14:paraId="00000034">
      <w:pPr>
        <w:tabs>
          <w:tab w:val="left" w:leader="none" w:pos="3380"/>
        </w:tabs>
        <w:ind w:left="880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+44 (0) 113 2666 690</w:t>
      </w:r>
    </w:p>
    <w:p w:rsidR="00000000" w:rsidDel="00000000" w:rsidP="00000000" w:rsidRDefault="00000000" w:rsidRPr="00000000" w14:paraId="00000035">
      <w:pPr>
        <w:tabs>
          <w:tab w:val="left" w:leader="none" w:pos="3380"/>
        </w:tabs>
        <w:ind w:left="8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380"/>
        </w:tabs>
        <w:spacing w:before="60" w:lineRule="auto"/>
        <w:ind w:left="500" w:right="6080" w:firstLine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    </w:t>
      </w:r>
    </w:p>
    <w:p w:rsidR="00000000" w:rsidDel="00000000" w:rsidP="00000000" w:rsidRDefault="00000000" w:rsidRPr="00000000" w14:paraId="00000037">
      <w:pPr>
        <w:tabs>
          <w:tab w:val="left" w:leader="none" w:pos="3380"/>
        </w:tabs>
        <w:ind w:left="880" w:firstLine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380"/>
        </w:tabs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Kontaktpersona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sds@starbrandsltd.co.uk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1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1.4. Ārkārtas tālruņa numurs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9700" y="3777619"/>
                          <a:ext cx="175260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line="13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lineRule="auto"/>
        <w:ind w:left="851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Valsts ugunsdzēsības un glābšanas dienests: 112.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lineRule="auto"/>
        <w:ind w:left="851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Toksikoloģijas un sepses klīnikas Saindēšanās un zāļu informācijas centrs, Hipokrāta 2, Rīga, Latvija, LV-1038; strādā 24 h diennaktī. Tel. nr. +371 67042473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101600</wp:posOffset>
                </wp:positionV>
                <wp:extent cx="6423025" cy="200025"/>
                <wp:effectExtent b="0" l="0" r="0" t="0"/>
                <wp:wrapNone/>
                <wp:docPr id="214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2139250" y="3684750"/>
                          <a:ext cx="6413500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101600</wp:posOffset>
                </wp:positionV>
                <wp:extent cx="6423025" cy="200025"/>
                <wp:effectExtent b="0" l="0" r="0" t="0"/>
                <wp:wrapNone/>
                <wp:docPr id="214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6934200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6934200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54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97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2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213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74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spacing w:line="215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2. IEDAĻA. Bīstamības apzināšana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19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2.1. Vielas vai maisījuma klasificēšana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3793" y="3777619"/>
                          <a:ext cx="23044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spacing w:line="9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Klasifikācija (EK 1272/2008)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90668" y="3777619"/>
                          <a:ext cx="15106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line="8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380"/>
        </w:tabs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Fiziskie apdraudējumi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Nav klasificēts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2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380"/>
        </w:tabs>
        <w:ind w:left="8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Veselības apdraudējumi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Nav klasificēts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09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380"/>
        </w:tabs>
        <w:ind w:left="880" w:firstLine="0"/>
        <w:rPr>
          <w:sz w:val="20"/>
          <w:szCs w:val="20"/>
        </w:rPr>
        <w:sectPr>
          <w:pgSz w:h="16840" w:w="11900" w:orient="portrait"/>
          <w:pgMar w:bottom="23" w:top="0" w:left="60" w:right="120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Vides apdraudējumi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Nav klasificēts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0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07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540" w:firstLine="0"/>
        <w:rPr>
          <w:sz w:val="20"/>
          <w:szCs w:val="20"/>
        </w:rPr>
        <w:sectPr>
          <w:type w:val="continuous"/>
          <w:pgSz w:h="16840" w:w="11900" w:orient="portrait"/>
          <w:pgMar w:bottom="23" w:top="0" w:left="60" w:right="12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1/9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p w:rsidR="00000000" w:rsidDel="00000000" w:rsidP="00000000" w:rsidRDefault="00000000" w:rsidRPr="00000000" w14:paraId="00000052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8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2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80.0" w:type="dxa"/>
        <w:jc w:val="left"/>
        <w:tblLayout w:type="fixed"/>
        <w:tblLook w:val="0400"/>
      </w:tblPr>
      <w:tblGrid>
        <w:gridCol w:w="1580"/>
        <w:gridCol w:w="640"/>
        <w:gridCol w:w="5960"/>
        <w:tblGridChange w:id="0">
          <w:tblGrid>
            <w:gridCol w:w="1580"/>
            <w:gridCol w:w="640"/>
            <w:gridCol w:w="5960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2.2. Etiķetes elementi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Bīstamības apzīmējumi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ind w:lef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EUH208 Satur benzizotiazolinonu. Var izraisīt alerģisku reakciju.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Piesardzības paziņojumi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ind w:lef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P102 Uzglabāt bērniem nepieejamā vietā.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ind w:lef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P103 Pirms lietošanas izlasiet etiķeti.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ind w:lef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P501 Atbrīvoties no satura/tvertnes saskaņā ar vietējiem noteikumiem.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2.3. Citi apdraudējumi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3243" y="3777619"/>
                          <a:ext cx="9455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spacing w:line="1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Šis produkts nesatur vielas, kas klasificētas kā PBT vai vPvB.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6422390" cy="200025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6422390" cy="200025"/>
                <wp:effectExtent b="0" l="0" r="0" t="0"/>
                <wp:wrapNone/>
                <wp:docPr id="1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96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10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81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spacing w:line="20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3. IEDAĻA. Sastāvs/informācija par sastāvdaļām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2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3.2. Maisījumi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9293" y="3777619"/>
                          <a:ext cx="6534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65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25400</wp:posOffset>
                </wp:positionV>
                <wp:extent cx="0" cy="1955800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2802100"/>
                          <a:ext cx="4763" cy="19558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25400</wp:posOffset>
                </wp:positionV>
                <wp:extent cx="0" cy="1955800"/>
                <wp:effectExtent b="0" l="0" r="0" t="0"/>
                <wp:wrapNone/>
                <wp:docPr id="14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5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0" cy="1955800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2802100"/>
                          <a:ext cx="4763" cy="19558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0" cy="1955800"/>
                <wp:effectExtent b="0" l="0" r="0" t="0"/>
                <wp:wrapNone/>
                <wp:docPr id="162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5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787400</wp:posOffset>
                </wp:positionV>
                <wp:extent cx="0" cy="12700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787400</wp:posOffset>
                </wp:positionV>
                <wp:extent cx="0" cy="12700"/>
                <wp:effectExtent b="0" l="0" r="0" t="0"/>
                <wp:wrapNone/>
                <wp:docPr id="195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spacing w:line="6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20.0" w:type="dxa"/>
        <w:jc w:val="left"/>
        <w:tblLayout w:type="fixed"/>
        <w:tblLook w:val="0400"/>
      </w:tblPr>
      <w:tblGrid>
        <w:gridCol w:w="2660"/>
        <w:gridCol w:w="7360"/>
        <w:tblGridChange w:id="0">
          <w:tblGrid>
            <w:gridCol w:w="2660"/>
            <w:gridCol w:w="7360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3">
            <w:pPr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Benzizotiazolinonu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&lt;1%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5">
            <w:pPr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CAS numurs: 2634-33-5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6">
            <w:pPr>
              <w:ind w:right="4793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EK numurs: 220-120-9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7">
            <w:pPr>
              <w:ind w:left="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M koeficients (akūts) =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0f0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8.0000000000000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Klasifikācija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8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Kaitīgs norijot. 4 - H302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Ādas kairinājums. 2 — H315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Nopietni acu bojājumi 1 - H318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Var izraisīt alerģisku reakciju - H317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Ļoti toksisks ūdens organismiem.- H400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12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spacing w:line="2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Visu R-frāžu un bīstamības paziņojumu pilns teksts ir parādīts 16. sadaļā.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422390" cy="200025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422390" cy="200025"/>
                <wp:effectExtent b="0" l="0" r="0" t="0"/>
                <wp:wrapNone/>
                <wp:docPr id="12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3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4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4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254000</wp:posOffset>
                </wp:positionV>
                <wp:extent cx="0" cy="12700"/>
                <wp:effectExtent b="0" l="0" r="0" t="0"/>
                <wp:wrapNone/>
                <wp:docPr id="1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254000</wp:posOffset>
                </wp:positionV>
                <wp:extent cx="0" cy="12700"/>
                <wp:effectExtent b="0" l="0" r="0" t="0"/>
                <wp:wrapNone/>
                <wp:docPr id="15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spacing w:line="18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4. IEDAĻA. Pirmās palīdzības pasākumi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2.999999999999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4.1. Pirmās palīdzības pasākumu apraksts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9218" y="3777619"/>
                          <a:ext cx="18535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8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spacing w:line="16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40.0" w:type="dxa"/>
        <w:jc w:val="left"/>
        <w:tblLayout w:type="fixed"/>
        <w:tblLook w:val="0400"/>
      </w:tblPr>
      <w:tblGrid>
        <w:gridCol w:w="2020"/>
        <w:gridCol w:w="3280"/>
        <w:gridCol w:w="1060"/>
        <w:gridCol w:w="3480"/>
        <w:tblGridChange w:id="0">
          <w:tblGrid>
            <w:gridCol w:w="2020"/>
            <w:gridCol w:w="3280"/>
            <w:gridCol w:w="1060"/>
            <w:gridCol w:w="348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Ieelpošana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92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Nekavējoties pārvietot cietušo svaigā gaisā. Ja diskomforts turpinās, meklējiet medicīnisko palīdzību.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Norīšana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96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Turiet skarto personu siltumā un miera stāvoklī. Neizraisiet vemšanu, ja vien to nenorāda medicīnas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9A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personāls. Rūpīgi izskalojiet muti ar ūdeni. Dodiet dzert daudz ūdens. Ja diskomforts turpinās, meklējiet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9E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medicīnisko palīdzību. Ja rodas šaubas, nekavējoties meklējiet medicīnisko palīdzību.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Saskare ar ādu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A2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Noņemiet piesārņojumu ar ziepēm un ūdeni vai atpazīstamu ādas tīrīšanas līdzekli. Ja simptomi ir smagi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A6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vai nepāriet, meklējiet medicīnisko palīdzību.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Acu kontakts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AA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Izņemiet visas kontaktlēcas un plaši atveriet plakstiņus. Uzmanīgi skalojiet ar ūdeni vairākas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AE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minūtes. Nekavējoties meklēt medicīnisko palīdzību. Turpiniet skalot.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4.2. Svarīgākie simptomi un ietekme – gan akūta, gan aizkavēta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Galvenā informācija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B6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Produkts tiek uzskatīts par zemu bīstamību normālos lietošanas apstākļos. Papildinformāciju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BA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veselības apdraudējumiem skatiet 11. sadaļā.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Ieelpošana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BE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Produkts tiek uzskatīts par zemu bīstamību normālos lietošanas apstākļos.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Norīšana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C2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Produkts tiek uzskatīts par zemu bīstamību normālos lietošanas apstākļos. Nekavējoties izskalojiet muti 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C6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lielu daudzumu ūdens, pēc tam izdzeriet 200-300 ml ūdens un meklējiet medicīnisko palīdzību.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Saskare ar ādu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CA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Ilgstoša saskare ar ādu var izraisīt īslaicīgu kairinājumu. Lietojot kā ieteikts, nevajadzētu rasties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CE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ādas kairinājumam.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Acu kontakts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D2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Var radīt diskomfortu.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4.3. Norāde par nepieciešamo neatliekamo medicīnisko palīdzību un īpašu aprūpi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Piezīmes ārstam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DA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Ārstējiet simptomātiski.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200" w:lineRule="auto"/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9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1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right="46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40" w:right="94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2/9</w:t>
      </w:r>
      <w:r w:rsidDel="00000000" w:rsidR="00000000" w:rsidRPr="00000000">
        <w:rPr>
          <w:rtl w:val="0"/>
        </w:rPr>
      </w:r>
    </w:p>
    <w:bookmarkStart w:colFirst="0" w:colLast="0" w:name="bookmark=id.1fob9te" w:id="1"/>
    <w:bookmarkEnd w:id="1"/>
    <w:p w:rsidR="00000000" w:rsidDel="00000000" w:rsidP="00000000" w:rsidRDefault="00000000" w:rsidRPr="00000000" w14:paraId="000000E0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right="6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Īpašas ārstēšanas metodes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Ieteikums nav sniegts, taču pirmā palīdzība joprojām var būt nepieciešama šīs ķīmiskās vielas nejaušas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1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iedarbības, ieelpošanas vai norīšanas gadījumā. Ja rodas šaubas, NEKAVĒJOTIES VĒLIES MEDICĪNAS PALĪDZĪBU!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89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68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2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3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163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5. IEDAĻA. Ugunsdzēsības pasākumi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3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5.1. Ugunsdzēšanas līdzekļi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018" y="3777619"/>
                          <a:ext cx="12439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spacing w:line="1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500"/>
        </w:tabs>
        <w:spacing w:line="461" w:lineRule="auto"/>
        <w:ind w:left="2520" w:right="940" w:hanging="2524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Piemēroti ugunsdzēšanas līdzekļi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Produkts nav uzliesmojošs. Izmantojiet ugunsdzēšanas līdzekļus, kas piemēroti apkārtējam ugunsgrēkam. Dzēst ar šādiem līdzekļiem: putas, oglekļa dioksīds vai sauss pulveris.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5.2. Īpaša bīstamība, ko rada viela vai maisījums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3118" y="3777619"/>
                          <a:ext cx="29457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4">
      <w:pPr>
        <w:spacing w:line="13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0.0" w:type="dxa"/>
        <w:jc w:val="left"/>
        <w:tblLayout w:type="fixed"/>
        <w:tblLook w:val="0400"/>
      </w:tblPr>
      <w:tblGrid>
        <w:gridCol w:w="2040"/>
        <w:gridCol w:w="7840"/>
        <w:tblGridChange w:id="0">
          <w:tblGrid>
            <w:gridCol w:w="2040"/>
            <w:gridCol w:w="784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Īpaši apdraudējumi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Produkts ir nedegošs. Produkts nav uzliesmojošs.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Bīstama degšana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Oglekļa oksīdi. Termiskā sadalīšanās vai sadegšana var izdalīt oglekļa oksīdus un citas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produktiem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toksiskas gāzes vai tvaikus.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5.3. Padomi ugunsdzēsējiem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Īpaši ugunsdzēsēju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Valkājiet pozitīvā spiediena autonomo elpošanas aparātu (SCBA) un piemērotu aizsargtērpu.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aizsardzības līdzekļi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422390" cy="200025"/>
                <wp:effectExtent b="0" l="0" r="0" t="0"/>
                <wp:wrapNone/>
                <wp:docPr id="179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422390" cy="200025"/>
                <wp:effectExtent b="0" l="0" r="0" t="0"/>
                <wp:wrapNone/>
                <wp:docPr id="179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83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91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76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2">
      <w:pPr>
        <w:spacing w:line="1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6. IEDAĻA. Pasākumi nejaušas noplūdes gadījumos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2.999999999999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6.1. Individuālās drošības pasākumi, aizsardzības līdzekļi un procedūras ārkārtas situācijām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9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5125" y="3777619"/>
                          <a:ext cx="38417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93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7">
      <w:pPr>
        <w:spacing w:line="16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0.0" w:type="dxa"/>
        <w:jc w:val="left"/>
        <w:tblLayout w:type="fixed"/>
        <w:tblLook w:val="0400"/>
      </w:tblPr>
      <w:tblGrid>
        <w:gridCol w:w="2480"/>
        <w:gridCol w:w="7280"/>
        <w:tblGridChange w:id="0">
          <w:tblGrid>
            <w:gridCol w:w="2480"/>
            <w:gridCol w:w="728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9"/>
                <w:szCs w:val="9"/>
                <w:rtl w:val="0"/>
              </w:rPr>
              <w:t xml:space="preserve">Individuālie piesardzības pasākumi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Izvairīties no tvaiku ieelpošanas. Izvairieties no saskares ar acīm un ilgstošas  saskares ar ādu.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B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Izmantojiet ieteiktos aizsarglīdzekļus, skatiet 8. nodaļu.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Nodrošiniet labu ventilāciju.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Neatliekamās palīdzības personālam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F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Drošības apsvērumu dēļ noņemiet personas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Neatliekamās palīdzības sniedzējiem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Valkājiet elpošanas aparātu, ja esat pakļauts tvaiku/aerosoliem/gāzēm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6.2. Vides piesardzības pasākumi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Vides piesardzības pasākumi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Nelielo izmantoto daudzumu dēļ neuzskata par būtisku bīstamību. Izvairieties no noplūdes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kanalizācijā vai ūdenstecēs vai zemē.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line="17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6.3. Ierobežošanas un savākšanas metodes un materiāli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0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7243" y="3777619"/>
                          <a:ext cx="29775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05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B">
      <w:pPr>
        <w:spacing w:line="13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00.0" w:type="dxa"/>
        <w:jc w:val="left"/>
        <w:tblLayout w:type="fixed"/>
        <w:tblLook w:val="0400"/>
      </w:tblPr>
      <w:tblGrid>
        <w:gridCol w:w="2460"/>
        <w:gridCol w:w="80"/>
        <w:gridCol w:w="7260"/>
        <w:tblGridChange w:id="0">
          <w:tblGrid>
            <w:gridCol w:w="2460"/>
            <w:gridCol w:w="80"/>
            <w:gridCol w:w="726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Tīrīšanas metodes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1D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Absorbējiet izšļakstījumu ar nedegošu, absorbējošu materiālu. Savākt un ievietot piemērotos atkritumu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20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iznīcināšanas konteineros un droši noslēgt. Atbrīvojieties no satura/tvertnes saskaņā ar vietējiem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23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noteikumiem.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6.4. Atsauce uz citām sadaļām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Atsauce uz citām sadaļām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29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Informāciju par personīgo aizsardzību skatiet 8. sadaļā. Informāciju par atkritumu iznīcināšanu skatiet 13. sadaļā.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422390" cy="200025"/>
                <wp:effectExtent b="0" l="0" r="0" t="0"/>
                <wp:wrapNone/>
                <wp:docPr id="207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422390" cy="200025"/>
                <wp:effectExtent b="0" l="0" r="0" t="0"/>
                <wp:wrapNone/>
                <wp:docPr id="207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88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71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3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67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C">
      <w:pPr>
        <w:spacing w:line="1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7. IEDAĻA. Lietošana un uzglabāšana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7.1. Piesardzības pasākumi drošai lietošanai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418" y="3777619"/>
                          <a:ext cx="17011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4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1">
      <w:pPr>
        <w:spacing w:line="17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8"/>
          <w:szCs w:val="8"/>
          <w:rtl w:val="0"/>
        </w:rPr>
        <w:t xml:space="preserve">Lietošanas piesardzības pasākumi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Izvairieties no saskares ar acīm un ilgstošas  saskares ar ādu. Izvairieties no tvaiku un aerosolu/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1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miglas ieelpošanas. Nodrošiniet atbilstošu ventilāciju.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1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60.0" w:type="dxa"/>
        <w:jc w:val="left"/>
        <w:tblLayout w:type="fixed"/>
        <w:tblLook w:val="0400"/>
      </w:tblPr>
      <w:tblGrid>
        <w:gridCol w:w="1880"/>
        <w:gridCol w:w="3080"/>
        <w:gridCol w:w="4300"/>
        <w:tblGridChange w:id="0">
          <w:tblGrid>
            <w:gridCol w:w="1880"/>
            <w:gridCol w:w="3080"/>
            <w:gridCol w:w="430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Vispārīgi padomi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37">
            <w:pPr>
              <w:ind w:left="6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Lietojot neēst, nedzert un nesmēķēt. Pēc apstrādes rūpīgi nomazgāt piesārņoto ādu.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darba higiēna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7.2. Drošas glabāšanas apstākļi, tostarp visu veidu nesaderība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8"/>
                <w:szCs w:val="8"/>
                <w:rtl w:val="0"/>
              </w:rPr>
              <w:t xml:space="preserve">Uzglabāšanas piesardzības pasākumi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40">
            <w:pPr>
              <w:ind w:left="6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Šis produkts ir jāglabā maziem bērniem nepieejamā vietā un jānošķir no produktiem, kas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43">
            <w:pPr>
              <w:ind w:left="6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paredzēti lietošanai pārtikā. Uzglabāt vēsā un tikai oriģinālajā iepakojumā.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Uzglabāšanas klase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46">
            <w:pPr>
              <w:ind w:left="6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Nenoteikta krātuve.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7.3. Konkrēts(-i) galalietojums(-i)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line="200" w:lineRule="auto"/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10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1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right="32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40" w:right="108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3/9</w:t>
      </w:r>
      <w:r w:rsidDel="00000000" w:rsidR="00000000" w:rsidRPr="00000000">
        <w:rPr>
          <w:rtl w:val="0"/>
        </w:rPr>
      </w:r>
    </w:p>
    <w:bookmarkStart w:colFirst="0" w:colLast="0" w:name="bookmark=id.3znysh7" w:id="2"/>
    <w:bookmarkEnd w:id="2"/>
    <w:p w:rsidR="00000000" w:rsidDel="00000000" w:rsidP="00000000" w:rsidRDefault="00000000" w:rsidRPr="00000000" w14:paraId="0000014E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right="4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35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Konkrēts(-i) galalietojums(-i)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Šī produkta noteiktie lietošanas veidi ir sīkāk aprakstīti 1.2. sadaļā.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3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98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08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84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1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161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6">
      <w:pPr>
        <w:spacing w:line="25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8. IEDAĻA. Iedarbības pārvaldība/individuālā aizsardzība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8.1. Kontroles parametri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6243" y="3777619"/>
                          <a:ext cx="11995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4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B">
      <w:pPr>
        <w:spacing w:line="19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u w:val="single"/>
          <w:rtl w:val="0"/>
        </w:rPr>
        <w:t xml:space="preserve">8.2. Ekspozīcijas kontrole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17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Aizsarglīdzekļi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1270000" cy="508000"/>
            <wp:effectExtent b="0" l="0" r="0" t="0"/>
            <wp:wrapNone/>
            <wp:docPr id="216" name="image41.jpg"/>
            <a:graphic>
              <a:graphicData uri="http://schemas.openxmlformats.org/drawingml/2006/picture">
                <pic:pic>
                  <pic:nvPicPr>
                    <pic:cNvPr id="0" name="image41.jp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50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0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Atbilstoša inženiertehniskā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Izvairieties no tvaiku un aerosolu/miglas ieelpošanas. Nodrošiniet atbilstošu ventilāciju.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11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kontrole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2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Acu/sejas aizsardzība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Valkājiet acu aizsargus.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1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Roku aizsardzība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Valkājiet aizsargcimdus, kas izgatavoti no šāda materiāla: Nitrila cimdi Nitrila gumija.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371" w:lineRule="auto"/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Polivinilhlorīds (PVC). Tam jābūt vismaz 0,55 mm biezam. Cimdi ir jāizmet un jānomaina, ja ir norādes uz degradāciju vai ķīmisku izrāvienu.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Cita ādas un ķermeņa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Valkājiet piemērotu apģērbu, lai novērstu jebkādu saskari ar ādu.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aizsardzība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1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Higiēnas pasākumi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Pēc apstrādes rūpīgi nomazgājiet rokas. Nesmēķējiet darba zonā.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Elpošanas orgānu aizsardzība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Normālos lietošanas apstākļos īpašas prasības nav paredzētas.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0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Vides iedarbība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Pārliecinieties, ka ir ieviesti visi šīs DDL 7. sadaļā minētie inženiertehniskie pasākumi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vadīklas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6422390" cy="200025"/>
                <wp:effectExtent b="0" l="0" r="0" t="0"/>
                <wp:wrapNone/>
                <wp:docPr id="158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3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96850"/>
                <wp:effectExtent b="0" l="0" r="0" t="0"/>
                <wp:wrapNone/>
                <wp:docPr id="169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292100</wp:posOffset>
                </wp:positionV>
                <wp:extent cx="0" cy="12700"/>
                <wp:effectExtent b="0" l="0" r="0" t="0"/>
                <wp:wrapNone/>
                <wp:docPr id="187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B">
      <w:pPr>
        <w:spacing w:line="20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9. IEDAĻA. Fizikālās un ķīmiskās īpašības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2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9.1. Informācija par pamata fizikālajām un ķīmiskajām īpašībām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6293" y="3777619"/>
                          <a:ext cx="29394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5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0">
      <w:pPr>
        <w:spacing w:line="11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Izskats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Dzidrs šķidrums.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1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Krāsa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Bāli rozā.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0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Smarža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Ziedu.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1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Smaržas slieksnis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Nav pieejami specifiski testa dati.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1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pH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pH (koncentrēts šķīdums): 8,0 - 10,5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Kušanas punkts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1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9"/>
          <w:szCs w:val="9"/>
          <w:rtl w:val="0"/>
        </w:rPr>
        <w:t xml:space="preserve">Sākotnējā viršanas temperatūra un diapazons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Nav pieejams.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7"/>
          <w:szCs w:val="7"/>
          <w:rtl w:val="0"/>
        </w:rPr>
        <w:t xml:space="preserve">Uzliesmošanas punkts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Šis produkts neuztur degšanu.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2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Iztvaikošanas ātrums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Informācija nav pieejama.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Iztvaikošanas koeficients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Nav pieejams.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52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Uzliesmojamība (cieta viela, gāze)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2.999999999999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Augšējā/apakšējā uzliesmojamības vai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13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sprādzienbīstamības robeža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3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Cita uzliesmojamība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1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Tvaika spiediens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Nezinams.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0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2500"/>
        </w:tabs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11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Tvaika blīvums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Nezinams.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1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right="30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40" w:right="11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4/9</w:t>
      </w:r>
      <w:r w:rsidDel="00000000" w:rsidR="00000000" w:rsidRPr="00000000">
        <w:rPr>
          <w:rtl w:val="0"/>
        </w:rPr>
      </w:r>
    </w:p>
    <w:bookmarkStart w:colFirst="0" w:colLast="0" w:name="bookmark=id.2et92p0" w:id="3"/>
    <w:bookmarkEnd w:id="3"/>
    <w:p w:rsidR="00000000" w:rsidDel="00000000" w:rsidP="00000000" w:rsidRDefault="00000000" w:rsidRPr="00000000" w14:paraId="000001A4">
      <w:pPr>
        <w:tabs>
          <w:tab w:val="left" w:leader="none" w:pos="4640"/>
          <w:tab w:val="left" w:leader="none" w:pos="8160"/>
        </w:tabs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186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33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20.0" w:type="dxa"/>
        <w:jc w:val="left"/>
        <w:tblInd w:w="10.0" w:type="dxa"/>
        <w:tblLayout w:type="fixed"/>
        <w:tblLook w:val="0400"/>
      </w:tblPr>
      <w:tblGrid>
        <w:gridCol w:w="40"/>
        <w:gridCol w:w="1220"/>
        <w:gridCol w:w="520"/>
        <w:gridCol w:w="100"/>
        <w:gridCol w:w="140"/>
        <w:gridCol w:w="260"/>
        <w:gridCol w:w="880"/>
        <w:gridCol w:w="160"/>
        <w:gridCol w:w="6800"/>
        <w:tblGridChange w:id="0">
          <w:tblGrid>
            <w:gridCol w:w="40"/>
            <w:gridCol w:w="1220"/>
            <w:gridCol w:w="520"/>
            <w:gridCol w:w="100"/>
            <w:gridCol w:w="140"/>
            <w:gridCol w:w="260"/>
            <w:gridCol w:w="880"/>
            <w:gridCol w:w="160"/>
            <w:gridCol w:w="680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Relatīvais blīvums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B0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0,99 - 1,005 g/ml @ 20°C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Tilpuma blīvums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B9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Nav noteikts.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Šķīdība(-es)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C2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Šķīst ūdenī.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Sadalījuma koeficients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CB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Trūkst datu.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Pašaizdegšanās temperatūra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D4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Nezinams.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Sadalīšanās temperatūra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DD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Nav noteikts.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Viskozitāte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E6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Nav piemērojams.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Sprādzienbīstamas īpašības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EF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Nav piemērojams.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Sprādzienbīstams reibumāNav uzskatāms par sprādzienbīstamu.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F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liesmas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Oksidējošas īpašības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0A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Neatbilst kritērijiem, lai klasificētu kā oksidējošu.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u w:val="singl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 Cita informācija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Refrakcijas indekss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1C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Informācija nav nepieciešama.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Daļiņu lielums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25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Nav pieejami specifiski testa dati.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Molekulārais svars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2E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Informācija nav nepieciešama.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Nepastāvība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37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Nav pieejams.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Piesātinājuma koncentrācija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40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Nav piemērojams.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Kritiskā temperatūra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49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Nav piemērojams.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Gaistošs organisks savienojums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52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Informācija nav nepieciešama.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dcdcdc" w:val="clear"/>
            <w:vAlign w:val="bottom"/>
          </w:tcPr>
          <w:p w:rsidR="00000000" w:rsidDel="00000000" w:rsidP="00000000" w:rsidRDefault="00000000" w:rsidRPr="00000000" w14:paraId="0000025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8" w:val="single"/>
              <w:right w:color="000000" w:space="0" w:sz="8" w:val="single"/>
            </w:tcBorders>
            <w:shd w:fill="dcdcdc" w:val="clear"/>
            <w:vAlign w:val="bottom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10. IEDAĻA. Stabilitāte un reaģētspēja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10.1. Reaktivitāte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2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Reaktivitāte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76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Ar šo produktu nav zināmu reaktivitātes apdraudējumu.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u w:val="singl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 Ķīmiskā stabilitāte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Stabilitāte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88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Nekādas īpašas stabilitātes bažas.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10.3. Bīstamu reakciju iespējamība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Bīstamu reakciju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9A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Neviens īpašs materiāls vai materiālu grupa nevar reaģēt ar produktu, lai radītu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9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iespējamība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A3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bīstamu situāciju.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0"/>
                <w:szCs w:val="10"/>
                <w:rtl w:val="0"/>
              </w:rPr>
              <w:t xml:space="preserve">10.4. Nosacījumi, no kuriem jāizvairās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9"/>
                <w:szCs w:val="9"/>
                <w:rtl w:val="0"/>
              </w:rPr>
              <w:t xml:space="preserve">Nosacījumi, no kuriem jāizvairās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B5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Nav zināmi apstākļi, kas varētu izraisīt bīstamu situāciju.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10.5. Nesaderīgi materiāli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9"/>
                <w:szCs w:val="9"/>
                <w:rtl w:val="0"/>
              </w:rPr>
              <w:t xml:space="preserve">Materiāli, no kuriem jāizvairās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C7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Neviens īpašs materiāls vai materiālu grupa nevar reaģēt ar produktu, lai radītu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C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D0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bīstamu situāciju.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10.6. Bīstami sadalīšanās produkti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Bīstama sadalīšanās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E2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Nav zināmi bīstami sadalīšanās produkti.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2E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2EB">
            <w:pPr>
              <w:ind w:lef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produktiem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423025" cy="20002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2139250" y="3684750"/>
                          <a:ext cx="6413500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423025" cy="200025"/>
                <wp:effectExtent b="0" l="0" r="0" t="0"/>
                <wp:wrapNone/>
                <wp:docPr id="14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4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56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0" cy="196850"/>
                <wp:effectExtent b="0" l="0" r="0" t="0"/>
                <wp:wrapNone/>
                <wp:docPr id="172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99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EF">
      <w:pPr>
        <w:spacing w:line="1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11. IEDAĻA. Toksikoloģiskā informācija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line="23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11.1. Informācija par toksikoloģisko ietekmi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line="20" w:lineRule="auto"/>
        <w:rPr>
          <w:sz w:val="20"/>
          <w:szCs w:val="20"/>
        </w:rPr>
        <w:sectPr>
          <w:type w:val="nextPage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0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7143" y="3777619"/>
                          <a:ext cx="20377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03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line="29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ind w:right="46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5/9</w:t>
      </w:r>
      <w:r w:rsidDel="00000000" w:rsidR="00000000" w:rsidRPr="00000000">
        <w:rPr>
          <w:rtl w:val="0"/>
        </w:rPr>
      </w:r>
    </w:p>
    <w:bookmarkStart w:colFirst="0" w:colLast="0" w:name="bookmark=id.tyjcwt" w:id="4"/>
    <w:bookmarkEnd w:id="4"/>
    <w:p w:rsidR="00000000" w:rsidDel="00000000" w:rsidP="00000000" w:rsidRDefault="00000000" w:rsidRPr="00000000" w14:paraId="000002F7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ind w:right="2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36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40.0" w:type="dxa"/>
        <w:jc w:val="left"/>
        <w:tblLayout w:type="fixed"/>
        <w:tblLook w:val="0400"/>
      </w:tblPr>
      <w:tblGrid>
        <w:gridCol w:w="1240"/>
        <w:gridCol w:w="140"/>
        <w:gridCol w:w="140"/>
        <w:gridCol w:w="240"/>
        <w:gridCol w:w="60"/>
        <w:gridCol w:w="140"/>
        <w:gridCol w:w="20"/>
        <w:gridCol w:w="360"/>
        <w:gridCol w:w="7500"/>
        <w:tblGridChange w:id="0">
          <w:tblGrid>
            <w:gridCol w:w="1240"/>
            <w:gridCol w:w="140"/>
            <w:gridCol w:w="140"/>
            <w:gridCol w:w="240"/>
            <w:gridCol w:w="60"/>
            <w:gridCol w:w="140"/>
            <w:gridCol w:w="20"/>
            <w:gridCol w:w="360"/>
            <w:gridCol w:w="7500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Toksikoloģiskā iedarbība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Mēs neesam veikuši nekādus izmēģinājumus ar dzīvniekiem šim produktam. Visi zemāk minētie ATE skaitļi ir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0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E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toksicitātes klasifikācijas, kas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7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ir veikti, izmantojot ATE (akūtas toksicitātes aplēses) aprēķina metodi, izmantojot LD50 vai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0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ATE skaitļus, ko nodrošina Raw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9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Materiālu ražotājs.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Akūta toksicitāte – iekšķīgi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3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33">
            <w:pPr>
              <w:spacing w:line="12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Piezīmes (orāli LD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1"/>
                <w:szCs w:val="11"/>
                <w:rtl w:val="0"/>
              </w:rPr>
              <w:t xml:space="preserve">₅₀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B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4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Akūta toksicitāte – caur ādu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3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45">
            <w:pPr>
              <w:spacing w:line="1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Piezīmes (dermāls LD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2"/>
                <w:szCs w:val="12"/>
                <w:rtl w:val="0"/>
              </w:rPr>
              <w:t xml:space="preserve">₅₀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D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7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Akūta toksicitāte - ieelpojot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57">
            <w:pPr>
              <w:spacing w:line="161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Piezīmes (ieelpojot LC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4"/>
                <w:szCs w:val="14"/>
                <w:rtl w:val="0"/>
              </w:rPr>
              <w:t xml:space="preserve">₅₀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F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Ādas kodīgums/kairinājums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3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Kodīgums/kairinājums ādai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1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8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Nopietns acu bojājums/kairinājums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Nopietns acu bojājums/kairinājums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3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Elpceļu sensibilizācija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Elpceļu sensibilizācija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Ādas sensibilizācija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3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Ādas sensibilizācija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7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Var izraisīt alerģisku reakciju.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Dzimumšūnu mutagenitāte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3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Genotoksicitāte - in vitro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9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Kancerogenitāte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bottom"/>
          </w:tcPr>
          <w:p w:rsidR="00000000" w:rsidDel="00000000" w:rsidP="00000000" w:rsidRDefault="00000000" w:rsidRPr="00000000" w14:paraId="000003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Kancerogenitāte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B">
            <w:pPr>
              <w:ind w:lef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Pamatojoties uz pieejamajiem datiem, klasifikācijas kritēriji nav izpildīti.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C">
      <w:pPr>
        <w:spacing w:line="21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u w:val="single"/>
          <w:rtl w:val="0"/>
        </w:rPr>
        <w:t xml:space="preserve">Reproduktīvā toksicitāte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13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Reproduktīvā toksicitāte - auglībaPamatojoties uz pieejamajiem datiem, klasifikācijas kritēriji nav izpildīti.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Toksiska ietekme uz īpašu mērķorgānu – vienreizēja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1093" y="3777619"/>
                          <a:ext cx="23298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00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3">
      <w:pPr>
        <w:spacing w:line="11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iedarbība STOT – vienreizēja iedarbība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Pamatojoties uz pieejamajiem datiem, klasifikācijas kritēriji nav izpildīti.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line="27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Toksiska ietekme uz īpašu mērķorgānu – atkārtota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4893" y="3777619"/>
                          <a:ext cx="24822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8">
      <w:pPr>
        <w:spacing w:line="11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iedarbība STOT – atkārtota iedarbība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Pamatojoties uz pieejamajiem datiem, klasifikācijas kritēriji nav izpildīti.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line="28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00.0" w:type="dxa"/>
        <w:jc w:val="left"/>
        <w:tblLayout w:type="fixed"/>
        <w:tblLook w:val="0400"/>
      </w:tblPr>
      <w:tblGrid>
        <w:gridCol w:w="1400"/>
        <w:gridCol w:w="620"/>
        <w:gridCol w:w="7480"/>
        <w:tblGridChange w:id="0">
          <w:tblGrid>
            <w:gridCol w:w="1400"/>
            <w:gridCol w:w="620"/>
            <w:gridCol w:w="748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Aspirācijas bīstamība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Aspirācijas bīstamība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0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Pamatojoties uz pieejamo informāciju, klasifikācijas kritēriji neatbilst.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Galvenā informācija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3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11.2.1. Endokrīnās sistēmas traucējumus izraisošas īpašības: Nelabvēlīga ietekme uz veselību, ko izraisa endokrīno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E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6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sistēmu graujošas īpašības: Nav noteiktas vielas, kurām piemīt endokrīno sistēmu graujošas īpašības. 11.2.2. 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E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9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informācija: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C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Simptomi, kas saistīti ar fizikālajām, ķīmiskajām un toksikoloģiskajām īpašībām,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E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F">
            <w:pPr>
              <w:ind w:left="5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Papildinformāciju skatīt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0">
      <w:pPr>
        <w:spacing w:line="19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Toksikoloģiskā informācija par sastāvdaļām.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7143" y="3777619"/>
                          <a:ext cx="20377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4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3">
      <w:pPr>
        <w:spacing w:line="19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ind w:left="47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Benzizotiazolinonu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7683" y="3777619"/>
                          <a:ext cx="101663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6">
      <w:pPr>
        <w:spacing w:line="24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ind w:left="106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Akūta toksicitāte - perorāli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line="20" w:lineRule="auto"/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1120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3718" y="3777619"/>
                          <a:ext cx="9645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64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22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ind w:right="28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40" w:right="112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6/9</w:t>
      </w:r>
      <w:r w:rsidDel="00000000" w:rsidR="00000000" w:rsidRPr="00000000">
        <w:rPr>
          <w:rtl w:val="0"/>
        </w:rPr>
      </w:r>
    </w:p>
    <w:bookmarkStart w:colFirst="0" w:colLast="0" w:name="bookmark=id.3dy6vkm" w:id="5"/>
    <w:bookmarkEnd w:id="5"/>
    <w:p w:rsidR="00000000" w:rsidDel="00000000" w:rsidP="00000000" w:rsidRDefault="00000000" w:rsidRPr="00000000" w14:paraId="000003FD">
      <w:pPr>
        <w:tabs>
          <w:tab w:val="left" w:leader="none" w:pos="4640"/>
          <w:tab w:val="left" w:leader="none" w:pos="8160"/>
        </w:tabs>
        <w:ind w:left="8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ind w:left="186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37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680.0" w:type="dxa"/>
        <w:jc w:val="left"/>
        <w:tblInd w:w="1100.0" w:type="dxa"/>
        <w:tblLayout w:type="fixed"/>
        <w:tblLook w:val="0400"/>
      </w:tblPr>
      <w:tblGrid>
        <w:gridCol w:w="1780"/>
        <w:gridCol w:w="900"/>
        <w:tblGridChange w:id="0">
          <w:tblGrid>
            <w:gridCol w:w="1780"/>
            <w:gridCol w:w="90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ATE iekšķīgi (mg/kg)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500,0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5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423025" cy="200025"/>
                <wp:effectExtent b="0" l="0" r="0" t="0"/>
                <wp:wrapNone/>
                <wp:docPr id="185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2139250" y="3684750"/>
                          <a:ext cx="6413500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423025" cy="200025"/>
                <wp:effectExtent b="0" l="0" r="0" t="0"/>
                <wp:wrapNone/>
                <wp:docPr id="185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63500</wp:posOffset>
                </wp:positionV>
                <wp:extent cx="0" cy="196850"/>
                <wp:effectExtent b="0" l="0" r="0" t="0"/>
                <wp:wrapNone/>
                <wp:docPr id="20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63500</wp:posOffset>
                </wp:positionV>
                <wp:extent cx="0" cy="196850"/>
                <wp:effectExtent b="0" l="0" r="0" t="0"/>
                <wp:wrapNone/>
                <wp:docPr id="202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204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0" cy="196850"/>
                <wp:effectExtent b="0" l="0" r="0" t="0"/>
                <wp:wrapNone/>
                <wp:docPr id="1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0" cy="196850"/>
                <wp:effectExtent b="0" l="0" r="0" t="0"/>
                <wp:wrapNone/>
                <wp:docPr id="186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0" cy="12700"/>
                <wp:effectExtent b="0" l="0" r="0" t="0"/>
                <wp:wrapNone/>
                <wp:docPr id="20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0" cy="12700"/>
                <wp:effectExtent b="0" l="0" r="0" t="0"/>
                <wp:wrapNone/>
                <wp:docPr id="201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06">
      <w:pPr>
        <w:spacing w:line="14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ind w:left="40" w:firstLine="0"/>
        <w:rPr>
          <w:sz w:val="20"/>
          <w:szCs w:val="20"/>
        </w:rPr>
        <w:sectPr>
          <w:type w:val="nextPage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12. IEDAĻA. Ekoloģiskā informācija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3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u w:val="single"/>
          <w:rtl w:val="0"/>
        </w:rPr>
        <w:t xml:space="preserve">12.1. Toksicitāte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line="22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Toksicitāte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0" w:lineRule="auto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line="3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Produkts satur vielu, kas ir kaitīga ūdens organismiem.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06" w:lineRule="auto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  <w:cols w:equalWidth="0" w:num="2">
            <w:col w:space="720" w:w="4690"/>
            <w:col w:space="0" w:w="469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Ekoloģiskā informācija par sastāvdaļām.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6993" y="3777619"/>
                          <a:ext cx="18980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14">
      <w:pPr>
        <w:spacing w:line="19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60.0" w:type="dxa"/>
        <w:jc w:val="left"/>
        <w:tblInd w:w="40.0" w:type="dxa"/>
        <w:tblLayout w:type="fixed"/>
        <w:tblLook w:val="0400"/>
      </w:tblPr>
      <w:tblGrid>
        <w:gridCol w:w="1060"/>
        <w:gridCol w:w="500"/>
        <w:gridCol w:w="600"/>
        <w:gridCol w:w="320"/>
        <w:gridCol w:w="260"/>
        <w:gridCol w:w="80"/>
        <w:gridCol w:w="660"/>
        <w:gridCol w:w="1240"/>
        <w:gridCol w:w="1600"/>
        <w:gridCol w:w="3240"/>
        <w:tblGridChange w:id="0">
          <w:tblGrid>
            <w:gridCol w:w="1060"/>
            <w:gridCol w:w="500"/>
            <w:gridCol w:w="600"/>
            <w:gridCol w:w="320"/>
            <w:gridCol w:w="260"/>
            <w:gridCol w:w="80"/>
            <w:gridCol w:w="660"/>
            <w:gridCol w:w="1240"/>
            <w:gridCol w:w="1600"/>
            <w:gridCol w:w="324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Benzizotiazolinonu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Akūta toksicitāte ūdens videi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2A">
            <w:pPr>
              <w:spacing w:line="19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LE(C)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7"/>
                <w:szCs w:val="17"/>
                <w:rtl w:val="0"/>
              </w:rPr>
              <w:t xml:space="preserve">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2F">
            <w:pPr>
              <w:ind w:left="480" w:firstLine="0"/>
              <w:rPr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17"/>
                    <w:szCs w:val="17"/>
                    <w:rtl w:val="0"/>
                  </w:rPr>
                  <w:t xml:space="preserve">0,1 &lt; L(E)C50 ≤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M faktors (akūts)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438">
            <w:pPr>
              <w:ind w:left="5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Akūta toksicitāte - zivis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43">
            <w:pPr>
              <w:spacing w:line="173" w:lineRule="auto"/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LC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5"/>
                <w:szCs w:val="15"/>
                <w:rtl w:val="0"/>
              </w:rPr>
              <w:t xml:space="preserve">₅₀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, 96 stundas: 2,18 mg/l, Oncorhynchus mykiss (Varavīksnes forele)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Akūta toksicitāte – ūdens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4D">
            <w:pPr>
              <w:spacing w:line="184" w:lineRule="auto"/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EC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16"/>
                <w:szCs w:val="16"/>
                <w:rtl w:val="0"/>
              </w:rPr>
              <w:t xml:space="preserve">₅₀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, 48 stundas: 2,94 mg/l, Daphnia magna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bezmugurkaulnieki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Akūta toksicitāte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461">
            <w:pPr>
              <w:ind w:left="4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NOEC, 72 stundas: 0,027 mg/l, Jūras ūdens aļģes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6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ūdensaugi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12.2. Noturība un noārdīšanās spēja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Noturība un noārdīšanās spēja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7D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Produkts ir bioloģiski noārdāms.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4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u w:val="singl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5"/>
                <w:szCs w:val="15"/>
                <w:rtl w:val="0"/>
              </w:rPr>
              <w:t xml:space="preserve"> Bioakumulācijas potenciāls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Bioakumulācijas potenciāls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91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Produkts nav bioakumulējošs.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Sadalījuma koeficients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9B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Trūkst datu.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12.4. Mobilitāte augsnē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4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Mobilitāte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AF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Produkts sajaucas ar ūdeni un var izplatīties ūdens sistēmās.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7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12.5. PBT un vPvB novērtējuma rezultāti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4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PBT un vPvB rezultāti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C3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Šī viela nav klasificēta kā PBT vai vPvB saskaņā ar pašreizējiem ES kritērijiem.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novērtējums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4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12.6. Citas nelabvēlīgas sekas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4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Citas nelabvēlīgas sekas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E1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Neieskalot virszemes ūdeņos vai sanitārajā kanalizācijas sistēmā.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E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4EB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Izvairieties no iekļūšanas grunts zemē. Nav identificētas vielas, kurām piemīt endokrīno sistēmu graujošas īpašības.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1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423025" cy="200025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139250" y="3684750"/>
                          <a:ext cx="6413500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423025" cy="200025"/>
                <wp:effectExtent b="0" l="0" r="0" t="0"/>
                <wp:wrapNone/>
                <wp:docPr id="13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3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88900</wp:posOffset>
                </wp:positionV>
                <wp:extent cx="0" cy="196850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88900</wp:posOffset>
                </wp:positionV>
                <wp:extent cx="0" cy="196850"/>
                <wp:effectExtent b="0" l="0" r="0" t="0"/>
                <wp:wrapNone/>
                <wp:docPr id="190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57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0" cy="196850"/>
                <wp:effectExtent b="0" l="0" r="0" t="0"/>
                <wp:wrapNone/>
                <wp:docPr id="1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0" cy="196850"/>
                <wp:effectExtent b="0" l="0" r="0" t="0"/>
                <wp:wrapNone/>
                <wp:docPr id="173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4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F2">
      <w:pPr>
        <w:spacing w:line="23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13. IEDAĻA. Apsvērumi, kas saistīti ar apsaimniekošanu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line="23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u w:val="single"/>
          <w:rtl w:val="0"/>
        </w:rPr>
        <w:t xml:space="preserve">13.1. Atkritumu apstrādes metodes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spacing w:line="1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tabs>
          <w:tab w:val="left" w:leader="none" w:pos="2540"/>
        </w:tabs>
        <w:spacing w:line="439" w:lineRule="auto"/>
        <w:ind w:left="2560" w:right="520" w:hanging="2524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Galvenā informācija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Atkritumu rašanās ir jāsamazina līdz minimumam vai jāizvairās no tās, kur vien iespējams. Atbrīvojieties no atkritumiem vai izlietotajiem konteineriem saskaņā ar vietējiem noteikumiem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line="8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Apglabāšanas metodes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line="20" w:lineRule="auto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line="371" w:lineRule="auto"/>
        <w:ind w:right="62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Izmetiet atkritumus licencētā atkritumu savākšanas vietā saskaņā ar vietējās atkritumu savākšanas iestādes prasībām.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spacing w:line="40" w:lineRule="auto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  <w:cols w:equalWidth="0" w:num="2">
            <w:col w:space="720" w:w="4690"/>
            <w:col w:space="0" w:w="469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20.0" w:type="dxa"/>
        <w:jc w:val="left"/>
        <w:tblInd w:w="10.0" w:type="dxa"/>
        <w:tblLayout w:type="fixed"/>
        <w:tblLook w:val="0400"/>
      </w:tblPr>
      <w:tblGrid>
        <w:gridCol w:w="1740"/>
        <w:gridCol w:w="8380"/>
        <w:tblGridChange w:id="0">
          <w:tblGrid>
            <w:gridCol w:w="1740"/>
            <w:gridCol w:w="8380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4FF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1"/>
                <w:szCs w:val="11"/>
                <w:rtl w:val="0"/>
              </w:rPr>
              <w:t xml:space="preserve">Atkritumu klase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0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Atkritumu kodu klasifikācija jāveic saskaņā ar Eiropas atkritumu katalogu (EWC).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dcdcdc" w:space="0" w:sz="8" w:val="single"/>
              <w:right w:color="000000" w:space="0" w:sz="8" w:val="single"/>
            </w:tcBorders>
            <w:shd w:fill="dcdcdc" w:val="clear"/>
            <w:vAlign w:val="bottom"/>
          </w:tcPr>
          <w:p w:rsidR="00000000" w:rsidDel="00000000" w:rsidP="00000000" w:rsidRDefault="00000000" w:rsidRPr="00000000" w14:paraId="00000503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14. IEDAĻA. Transportēšanas informācija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5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3"/>
                <w:szCs w:val="13"/>
                <w:rtl w:val="0"/>
              </w:rPr>
              <w:t xml:space="preserve">Ģenerālis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506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Uz produktu neattiecas starptautiskie noteikumi par bīstamo kravu pārvadāšanu (IMDG,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50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8">
            <w:pPr>
              <w:ind w:lef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7"/>
                <w:szCs w:val="17"/>
                <w:rtl w:val="0"/>
              </w:rPr>
              <w:t xml:space="preserve">IATA, ADR/RID).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9">
      <w:pPr>
        <w:spacing w:line="200" w:lineRule="auto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spacing w:line="16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ind w:right="46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00" w:right="9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7/9</w:t>
      </w:r>
      <w:r w:rsidDel="00000000" w:rsidR="00000000" w:rsidRPr="00000000">
        <w:rPr>
          <w:rtl w:val="0"/>
        </w:rPr>
      </w:r>
    </w:p>
    <w:bookmarkStart w:colFirst="0" w:colLast="0" w:name="bookmark=id.1t3h5sf" w:id="6"/>
    <w:bookmarkEnd w:id="6"/>
    <w:p w:rsidR="00000000" w:rsidDel="00000000" w:rsidP="00000000" w:rsidRDefault="00000000" w:rsidRPr="00000000" w14:paraId="0000050C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ind w:right="-39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spacing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Autotransporta piezīmes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Nav reglamentēts.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spacing w:line="2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Dzelzceļa transporta piezīmes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Nav reglamentēts.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spacing w:line="22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Jūras transporta piezīmes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Nav klasificēts.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line="23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Gaisa transporta piezīmes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Nav klasificēts.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spacing w:line="261.9999999999999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14.1. ANO numurs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1343" y="3777619"/>
                          <a:ext cx="8693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9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1C">
      <w:pPr>
        <w:spacing w:line="18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line="27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14.2. ANO pareizais piegādes nosaukums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52250" y="3777619"/>
                          <a:ext cx="158750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60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21">
      <w:pPr>
        <w:spacing w:line="18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line="28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1"/>
          <w:szCs w:val="11"/>
          <w:rtl w:val="0"/>
        </w:rPr>
        <w:t xml:space="preserve">14.3. Transportēšanas bīstamības klase(-es)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993" y="3777619"/>
                          <a:ext cx="164401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2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26">
      <w:pPr>
        <w:spacing w:line="19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Nav reglamentēts.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line="263.0000000000000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u w:val="single"/>
          <w:rtl w:val="0"/>
        </w:rPr>
        <w:t xml:space="preserve">14.4. Iepakošanas grupa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line="2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Nav piemērojams.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line="2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14.5. Vides apdraudējumi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8925" y="3777619"/>
                          <a:ext cx="14541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2F">
      <w:pPr>
        <w:spacing w:line="15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Videi bīstama viela/jūras piesārņotājs Nē.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line="33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14.6. Īpaši piesardzības pasākumi lietotājam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418" y="3777619"/>
                          <a:ext cx="17011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2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5">
      <w:pPr>
        <w:spacing w:line="16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pacing w:line="414" w:lineRule="auto"/>
        <w:ind w:right="70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Nodrošiniet, lai personas, kas transportē produktu, zinātu, kā rīkoties negadījuma vai noplūdes gadījumā. Vienmēr transportējiet slēgtos konteineros, kas ir vertikāli un droši.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pacing w:line="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14.7. Transportēšana bez taras saskaņā ar MARPOL II pielikumu un IBC kodeksu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5285" y="3777619"/>
                          <a:ext cx="382143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5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A">
      <w:pPr>
        <w:spacing w:line="15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Pārvadāšana vairumā saskaņā arNav aktuāli.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MARPOL 73/78 II pielikums un IBC kodekss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6422390" cy="200025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6422390" cy="200025"/>
                <wp:effectExtent b="0" l="0" r="0" t="0"/>
                <wp:wrapNone/>
                <wp:docPr id="1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266700</wp:posOffset>
                </wp:positionV>
                <wp:extent cx="0" cy="196850"/>
                <wp:effectExtent b="0" l="0" r="0" t="0"/>
                <wp:wrapNone/>
                <wp:docPr id="1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266700</wp:posOffset>
                </wp:positionV>
                <wp:extent cx="0" cy="196850"/>
                <wp:effectExtent b="0" l="0" r="0" t="0"/>
                <wp:wrapNone/>
                <wp:docPr id="194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0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06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96850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0" cy="196850"/>
                <wp:effectExtent b="0" l="0" r="0" t="0"/>
                <wp:wrapNone/>
                <wp:docPr id="209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457200</wp:posOffset>
                </wp:positionV>
                <wp:extent cx="0" cy="12700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457200</wp:posOffset>
                </wp:positionV>
                <wp:extent cx="0" cy="12700"/>
                <wp:effectExtent b="0" l="0" r="0" t="0"/>
                <wp:wrapNone/>
                <wp:docPr id="192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spacing w:line="2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15. IEDAĻA. Normatīvā informācija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line="21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15.1. Drošības, veselības un vides noteikumi/tiesību akti, kas īpaši attiecas uz vielu vai maisījumu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3310" y="3777619"/>
                          <a:ext cx="494538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7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45">
      <w:pPr>
        <w:spacing w:line="1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ES tiesību akti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Eiropas Parlamenta un Padomes 2008. gada 16. decembra Regula (EK) Nr. 1272/2008 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vielu un maisījumu klasificēšanu, marķēšanu un iepakošanu (ar grozījumiem).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spacing w:line="3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spacing w:line="313" w:lineRule="auto"/>
        <w:ind w:left="2520" w:right="1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Eiropas Parlamenta un Padomes 2006. gada 18. decembra Regula (EK) Nr. 1907/2006 par ķīmisko vielu reģistrēšanu, novērtēšanu, licencēšanu un ierobežošanu (REACH) (ar grozījumiem).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spacing w:line="392" w:lineRule="auto"/>
        <w:ind w:left="2520" w:right="96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Eiropas Parlamenta un Padomes 2004. gada 31. marta Regula (EK) Nr. 648/2004 par mazgāšanas līdzekļiem (ar grozījumiem).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pacing w:line="8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15.2. Ķīmiskās drošības novērtējums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6368" y="3777619"/>
                          <a:ext cx="17392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50">
      <w:pPr>
        <w:spacing w:line="139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Ķīmiskās drošības novērtējums nav veikts.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spacing w:line="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6422390" cy="200025"/>
                <wp:effectExtent b="0" l="0" r="0" t="0"/>
                <wp:wrapNone/>
                <wp:docPr id="166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2139568" y="3684750"/>
                          <a:ext cx="6412865" cy="1905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6422390" cy="200025"/>
                <wp:effectExtent b="0" l="0" r="0" t="0"/>
                <wp:wrapNone/>
                <wp:docPr id="166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239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190500</wp:posOffset>
                </wp:positionV>
                <wp:extent cx="0" cy="196850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6375400</wp:posOffset>
                </wp:positionH>
                <wp:positionV relativeFrom="paragraph">
                  <wp:posOffset>190500</wp:posOffset>
                </wp:positionV>
                <wp:extent cx="0" cy="196850"/>
                <wp:effectExtent b="0" l="0" r="0" t="0"/>
                <wp:wrapNone/>
                <wp:docPr id="14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2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190500</wp:posOffset>
                </wp:positionV>
                <wp:extent cx="0" cy="196850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681575"/>
                          <a:ext cx="4763" cy="1968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190500</wp:posOffset>
                </wp:positionV>
                <wp:extent cx="0" cy="196850"/>
                <wp:effectExtent b="0" l="0" r="0" t="0"/>
                <wp:wrapNone/>
                <wp:docPr id="12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1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6075" y="3777619"/>
                          <a:ext cx="6419850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180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53">
      <w:pPr>
        <w:spacing w:line="3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12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16. IEDAĻA. Cita informācija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line="3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ind w:right="200"/>
        <w:jc w:val="center"/>
        <w:rPr>
          <w:sz w:val="20"/>
          <w:szCs w:val="20"/>
        </w:rPr>
        <w:sectPr>
          <w:type w:val="continuous"/>
          <w:pgSz w:h="16840" w:w="11900" w:orient="portrait"/>
          <w:pgMar w:bottom="23" w:top="481" w:left="940" w:right="120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8/9</w:t>
      </w:r>
      <w:r w:rsidDel="00000000" w:rsidR="00000000" w:rsidRPr="00000000">
        <w:rPr>
          <w:rtl w:val="0"/>
        </w:rPr>
      </w:r>
    </w:p>
    <w:bookmarkStart w:colFirst="0" w:colLast="0" w:name="bookmark=id.4d34og8" w:id="7"/>
    <w:bookmarkEnd w:id="7"/>
    <w:p w:rsidR="00000000" w:rsidDel="00000000" w:rsidP="00000000" w:rsidRDefault="00000000" w:rsidRPr="00000000" w14:paraId="00000560">
      <w:pPr>
        <w:tabs>
          <w:tab w:val="left" w:leader="none" w:pos="4600"/>
          <w:tab w:val="left" w:leader="none" w:pos="8120"/>
        </w:tabs>
        <w:ind w:left="4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Pārskatīšanas datums: 20.10.2022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Pārskatīšana: 14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Aizstāj datums: 31.05.2022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spacing w:line="3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ind w:right="2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The Pink Stuff izsmidzināms multifunkcionāls tīrīšanas līdzeklis 750ml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line="35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Drošības datu lapā izmantotie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ATE: Akūtas toksicitātes novērtējums.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pacing w:line="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saīsinājumi un akronīmi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ADR: Eiropas līgums par starptautiskajiem bīstamo kravu autopārvadājumiem.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spacing w:line="3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line="315" w:lineRule="auto"/>
        <w:ind w:left="2520" w:right="4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ADN: Eiropas līgums par bīstamo kravu starptautiskajiem pārvadājumiem pa iekšējiem ūdensceļiem.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CAS: Chemical Abstracts Service. DNEL: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atvasinātais bezefekta līmenis. GHS: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globāli saskaņota sistēma.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line="196" w:lineRule="auto"/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LC</w:t>
      </w:r>
      <w:r w:rsidDel="00000000" w:rsidR="00000000" w:rsidRPr="00000000">
        <w:rPr>
          <w:rFonts w:ascii="MS PGothic" w:cs="MS PGothic" w:eastAsia="MS PGothic" w:hAnsi="MS PGothic"/>
          <w:b w:val="1"/>
          <w:sz w:val="17"/>
          <w:szCs w:val="17"/>
          <w:rtl w:val="0"/>
        </w:rPr>
        <w:t xml:space="preserve">₅₀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: letāla koncentrācija 50 % testa populācijas.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line="196" w:lineRule="auto"/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LD</w:t>
      </w:r>
      <w:r w:rsidDel="00000000" w:rsidR="00000000" w:rsidRPr="00000000">
        <w:rPr>
          <w:rFonts w:ascii="MS PGothic" w:cs="MS PGothic" w:eastAsia="MS PGothic" w:hAnsi="MS PGothic"/>
          <w:b w:val="1"/>
          <w:sz w:val="17"/>
          <w:szCs w:val="17"/>
          <w:rtl w:val="0"/>
        </w:rPr>
        <w:t xml:space="preserve">₅₀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: letālā deva 50% testa populācijas (vidējā letālā deva). PNEC: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paredzamā koncentrācija bez ietekmes.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REACH: ķīmisko vielu reģistrēšana, novērtēšana, licencēšana un ierobežošana Regula (EK)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Nr. 1907/2006.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SVHC: Vielas, kas rada ļoti lielas bažas. vPvB: ļoti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noturīgs un ļoti bioakumulatīvs. IARC: Starptautiskā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vēža izpētes aģentūra.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pacing w:line="6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line="342" w:lineRule="auto"/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MARPOL 73/78: 1973. gada Starptautiskā konvencija par piesārņojuma novēršanu no kuģiem, kas grozīta ar 1978. gada protokolu.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line="161" w:lineRule="auto"/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CATpE: Konvertēts akūtās toksicitātes punkta novērtējums. EC</w:t>
      </w:r>
      <w:r w:rsidDel="00000000" w:rsidR="00000000" w:rsidRPr="00000000">
        <w:rPr>
          <w:rFonts w:ascii="MS PGothic" w:cs="MS PGothic" w:eastAsia="MS PGothic" w:hAnsi="MS PGothic"/>
          <w:b w:val="1"/>
          <w:sz w:val="14"/>
          <w:szCs w:val="14"/>
          <w:rtl w:val="0"/>
        </w:rPr>
        <w:t xml:space="preserve">₅₀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: 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spacing w:lin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no maksimālās efektīvās koncentrācijas. LOAEC: zemākā novērotā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lin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nelabvēlīgās ietekmes koncentrācija. LOAEL: zemākais novērotās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spacing w:lin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nelabvēlīgās ietekmes līmenis.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line="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LOEC: zemākā novērotā efekta koncentrācija. DMEL: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line="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atvasinātais minimālā efekta līmenis.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line="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RID: Eiropas līgums par starptautiskajiem bīstamo kravu pārvadājumiem pa dzelzceļu.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line="3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IATA: Starptautiskā gaisa transporta asociācija.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IMDG: Starptautiskās jūras bīstamās kravas.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spacing w:line="1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Klasifikācijas saīsinājumi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Akūts toksīns. = Akūta toksicitāte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un akronīmi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Aquatic Acute = Bīstams ūdens videi (akūts) Aquatic Chronic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pacing w:line="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Bīstams ūdens videi (hronisks) Asp. Tox. = Aspirācijas bīstamība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spacing w:line="31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Carc. = kancerogenitāte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pacing w:line="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STOT RE = toksiska ietekme uz īpašu mērķorgānu - atkārtota iedarbība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lin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STOT SE = toksiska ietekme uz īpašu mērķorgānu - vienreizēja iedarbība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spacing w:lin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Eye Dam. = Nopietni acu bojājumi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pacing w:line="7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Met. Corr. = Kodīgs metāliem 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Corr. = Ādas korozija Skin Irrit.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Ādas kairinājums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Skin Sens = ādas sensibilizācija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spacing w:line="19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9"/>
          <w:szCs w:val="9"/>
          <w:rtl w:val="0"/>
        </w:rPr>
        <w:t xml:space="preserve">Pārskatīšanas datums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20.10.2022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pacing w:line="1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 xml:space="preserve">Pārskatīšana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line="1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Aizstāj datumu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31/05/2022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spacing w:line="1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SDS numurs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6213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spacing w:line="1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tabs>
          <w:tab w:val="left" w:leader="none" w:pos="2500"/>
        </w:tabs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Bīstamības apzīmējumi pilnībā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H302 Kaitīgs norijot. H315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Izraisa ādas kairinājumu.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line="6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H317 Var izraisīt alerģisku ādas reakciju.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line="6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H318 Izraisa nopietnus acu bojājumus.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ind w:left="252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3"/>
          <w:szCs w:val="13"/>
          <w:rtl w:val="0"/>
        </w:rPr>
        <w:t xml:space="preserve">H400 Ļoti toksisks ūdens organismiem.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line="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ind w:left="2520" w:firstLine="0"/>
        <w:rPr>
          <w:sz w:val="20"/>
          <w:szCs w:val="20"/>
        </w:rPr>
        <w:sectPr>
          <w:type w:val="nextPage"/>
          <w:pgSz w:h="16840" w:w="11900" w:orient="portrait"/>
          <w:pgMar w:bottom="23" w:top="481" w:left="940" w:right="112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EUH208 Satur benzizotiazolinonu. Var izraisīt alerģisku reakciju.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spacing w:line="35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ind w:right="280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646464"/>
          <w:sz w:val="16"/>
          <w:szCs w:val="16"/>
          <w:rtl w:val="0"/>
        </w:rPr>
        <w:t xml:space="preserve">9/9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23" w:top="481" w:left="940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PGothic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1.png"/><Relationship Id="rId42" Type="http://schemas.openxmlformats.org/officeDocument/2006/relationships/image" Target="media/image61.png"/><Relationship Id="rId41" Type="http://schemas.openxmlformats.org/officeDocument/2006/relationships/image" Target="media/image82.png"/><Relationship Id="rId44" Type="http://schemas.openxmlformats.org/officeDocument/2006/relationships/image" Target="media/image31.png"/><Relationship Id="rId43" Type="http://schemas.openxmlformats.org/officeDocument/2006/relationships/image" Target="media/image21.png"/><Relationship Id="rId46" Type="http://schemas.openxmlformats.org/officeDocument/2006/relationships/image" Target="media/image46.png"/><Relationship Id="rId45" Type="http://schemas.openxmlformats.org/officeDocument/2006/relationships/image" Target="media/image56.png"/><Relationship Id="rId107" Type="http://schemas.openxmlformats.org/officeDocument/2006/relationships/image" Target="media/image70.png"/><Relationship Id="rId106" Type="http://schemas.openxmlformats.org/officeDocument/2006/relationships/image" Target="media/image85.png"/><Relationship Id="rId105" Type="http://schemas.openxmlformats.org/officeDocument/2006/relationships/image" Target="media/image102.png"/><Relationship Id="rId104" Type="http://schemas.openxmlformats.org/officeDocument/2006/relationships/image" Target="media/image99.png"/><Relationship Id="rId109" Type="http://schemas.openxmlformats.org/officeDocument/2006/relationships/image" Target="media/image59.png"/><Relationship Id="rId108" Type="http://schemas.openxmlformats.org/officeDocument/2006/relationships/image" Target="media/image26.png"/><Relationship Id="rId48" Type="http://schemas.openxmlformats.org/officeDocument/2006/relationships/image" Target="media/image72.png"/><Relationship Id="rId47" Type="http://schemas.openxmlformats.org/officeDocument/2006/relationships/image" Target="media/image22.png"/><Relationship Id="rId49" Type="http://schemas.openxmlformats.org/officeDocument/2006/relationships/image" Target="media/image76.png"/><Relationship Id="rId103" Type="http://schemas.openxmlformats.org/officeDocument/2006/relationships/image" Target="media/image87.png"/><Relationship Id="rId102" Type="http://schemas.openxmlformats.org/officeDocument/2006/relationships/image" Target="media/image10.png"/><Relationship Id="rId101" Type="http://schemas.openxmlformats.org/officeDocument/2006/relationships/image" Target="media/image43.png"/><Relationship Id="rId100" Type="http://schemas.openxmlformats.org/officeDocument/2006/relationships/image" Target="media/image16.png"/><Relationship Id="rId31" Type="http://schemas.openxmlformats.org/officeDocument/2006/relationships/image" Target="media/image44.png"/><Relationship Id="rId30" Type="http://schemas.openxmlformats.org/officeDocument/2006/relationships/image" Target="media/image32.png"/><Relationship Id="rId33" Type="http://schemas.openxmlformats.org/officeDocument/2006/relationships/image" Target="media/image88.png"/><Relationship Id="rId32" Type="http://schemas.openxmlformats.org/officeDocument/2006/relationships/image" Target="media/image55.png"/><Relationship Id="rId35" Type="http://schemas.openxmlformats.org/officeDocument/2006/relationships/image" Target="media/image19.png"/><Relationship Id="rId34" Type="http://schemas.openxmlformats.org/officeDocument/2006/relationships/image" Target="media/image105.png"/><Relationship Id="rId37" Type="http://schemas.openxmlformats.org/officeDocument/2006/relationships/image" Target="media/image39.png"/><Relationship Id="rId36" Type="http://schemas.openxmlformats.org/officeDocument/2006/relationships/image" Target="media/image30.png"/><Relationship Id="rId39" Type="http://schemas.openxmlformats.org/officeDocument/2006/relationships/image" Target="media/image45.png"/><Relationship Id="rId38" Type="http://schemas.openxmlformats.org/officeDocument/2006/relationships/image" Target="media/image34.png"/><Relationship Id="rId20" Type="http://schemas.openxmlformats.org/officeDocument/2006/relationships/image" Target="media/image67.png"/><Relationship Id="rId22" Type="http://schemas.openxmlformats.org/officeDocument/2006/relationships/image" Target="media/image17.png"/><Relationship Id="rId21" Type="http://schemas.openxmlformats.org/officeDocument/2006/relationships/image" Target="media/image11.png"/><Relationship Id="rId24" Type="http://schemas.openxmlformats.org/officeDocument/2006/relationships/image" Target="media/image12.png"/><Relationship Id="rId23" Type="http://schemas.openxmlformats.org/officeDocument/2006/relationships/image" Target="media/image1.png"/><Relationship Id="rId26" Type="http://schemas.openxmlformats.org/officeDocument/2006/relationships/image" Target="media/image103.png"/><Relationship Id="rId25" Type="http://schemas.openxmlformats.org/officeDocument/2006/relationships/image" Target="media/image89.png"/><Relationship Id="rId28" Type="http://schemas.openxmlformats.org/officeDocument/2006/relationships/image" Target="media/image74.png"/><Relationship Id="rId27" Type="http://schemas.openxmlformats.org/officeDocument/2006/relationships/image" Target="media/image8.png"/><Relationship Id="rId29" Type="http://schemas.openxmlformats.org/officeDocument/2006/relationships/image" Target="media/image58.png"/><Relationship Id="rId95" Type="http://schemas.openxmlformats.org/officeDocument/2006/relationships/image" Target="media/image36.png"/><Relationship Id="rId94" Type="http://schemas.openxmlformats.org/officeDocument/2006/relationships/image" Target="media/image66.png"/><Relationship Id="rId97" Type="http://schemas.openxmlformats.org/officeDocument/2006/relationships/image" Target="media/image53.png"/><Relationship Id="rId96" Type="http://schemas.openxmlformats.org/officeDocument/2006/relationships/image" Target="media/image52.png"/><Relationship Id="rId11" Type="http://schemas.openxmlformats.org/officeDocument/2006/relationships/image" Target="media/image68.png"/><Relationship Id="rId99" Type="http://schemas.openxmlformats.org/officeDocument/2006/relationships/image" Target="media/image7.png"/><Relationship Id="rId10" Type="http://schemas.openxmlformats.org/officeDocument/2006/relationships/image" Target="media/image29.png"/><Relationship Id="rId98" Type="http://schemas.openxmlformats.org/officeDocument/2006/relationships/image" Target="media/image14.png"/><Relationship Id="rId13" Type="http://schemas.openxmlformats.org/officeDocument/2006/relationships/image" Target="media/image63.png"/><Relationship Id="rId12" Type="http://schemas.openxmlformats.org/officeDocument/2006/relationships/image" Target="media/image75.png"/><Relationship Id="rId91" Type="http://schemas.openxmlformats.org/officeDocument/2006/relationships/image" Target="media/image27.png"/><Relationship Id="rId90" Type="http://schemas.openxmlformats.org/officeDocument/2006/relationships/image" Target="media/image25.png"/><Relationship Id="rId93" Type="http://schemas.openxmlformats.org/officeDocument/2006/relationships/image" Target="media/image50.png"/><Relationship Id="rId92" Type="http://schemas.openxmlformats.org/officeDocument/2006/relationships/image" Target="media/image83.png"/><Relationship Id="rId15" Type="http://schemas.openxmlformats.org/officeDocument/2006/relationships/image" Target="media/image5.png"/><Relationship Id="rId110" Type="http://schemas.openxmlformats.org/officeDocument/2006/relationships/image" Target="media/image33.png"/><Relationship Id="rId14" Type="http://schemas.openxmlformats.org/officeDocument/2006/relationships/image" Target="media/image2.png"/><Relationship Id="rId17" Type="http://schemas.openxmlformats.org/officeDocument/2006/relationships/image" Target="media/image47.png"/><Relationship Id="rId16" Type="http://schemas.openxmlformats.org/officeDocument/2006/relationships/image" Target="media/image107.png"/><Relationship Id="rId19" Type="http://schemas.openxmlformats.org/officeDocument/2006/relationships/image" Target="media/image106.png"/><Relationship Id="rId18" Type="http://schemas.openxmlformats.org/officeDocument/2006/relationships/image" Target="media/image90.png"/><Relationship Id="rId113" Type="http://schemas.openxmlformats.org/officeDocument/2006/relationships/image" Target="media/image73.png"/><Relationship Id="rId112" Type="http://schemas.openxmlformats.org/officeDocument/2006/relationships/image" Target="media/image20.png"/><Relationship Id="rId111" Type="http://schemas.openxmlformats.org/officeDocument/2006/relationships/image" Target="media/image18.png"/><Relationship Id="rId84" Type="http://schemas.openxmlformats.org/officeDocument/2006/relationships/image" Target="media/image57.png"/><Relationship Id="rId83" Type="http://schemas.openxmlformats.org/officeDocument/2006/relationships/image" Target="media/image15.png"/><Relationship Id="rId86" Type="http://schemas.openxmlformats.org/officeDocument/2006/relationships/image" Target="media/image95.png"/><Relationship Id="rId85" Type="http://schemas.openxmlformats.org/officeDocument/2006/relationships/image" Target="media/image78.png"/><Relationship Id="rId88" Type="http://schemas.openxmlformats.org/officeDocument/2006/relationships/image" Target="media/image79.png"/><Relationship Id="rId87" Type="http://schemas.openxmlformats.org/officeDocument/2006/relationships/image" Target="media/image97.png"/><Relationship Id="rId89" Type="http://schemas.openxmlformats.org/officeDocument/2006/relationships/image" Target="media/image94.png"/><Relationship Id="rId80" Type="http://schemas.openxmlformats.org/officeDocument/2006/relationships/image" Target="media/image93.png"/><Relationship Id="rId82" Type="http://schemas.openxmlformats.org/officeDocument/2006/relationships/image" Target="media/image42.png"/><Relationship Id="rId81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13.png"/><Relationship Id="rId73" Type="http://schemas.openxmlformats.org/officeDocument/2006/relationships/image" Target="media/image48.png"/><Relationship Id="rId72" Type="http://schemas.openxmlformats.org/officeDocument/2006/relationships/image" Target="media/image80.png"/><Relationship Id="rId75" Type="http://schemas.openxmlformats.org/officeDocument/2006/relationships/image" Target="media/image35.png"/><Relationship Id="rId74" Type="http://schemas.openxmlformats.org/officeDocument/2006/relationships/image" Target="media/image37.png"/><Relationship Id="rId77" Type="http://schemas.openxmlformats.org/officeDocument/2006/relationships/image" Target="media/image65.png"/><Relationship Id="rId76" Type="http://schemas.openxmlformats.org/officeDocument/2006/relationships/image" Target="media/image49.png"/><Relationship Id="rId79" Type="http://schemas.openxmlformats.org/officeDocument/2006/relationships/image" Target="media/image96.png"/><Relationship Id="rId78" Type="http://schemas.openxmlformats.org/officeDocument/2006/relationships/image" Target="media/image92.png"/><Relationship Id="rId71" Type="http://schemas.openxmlformats.org/officeDocument/2006/relationships/image" Target="media/image62.png"/><Relationship Id="rId70" Type="http://schemas.openxmlformats.org/officeDocument/2006/relationships/image" Target="media/image4.png"/><Relationship Id="rId62" Type="http://schemas.openxmlformats.org/officeDocument/2006/relationships/image" Target="media/image91.png"/><Relationship Id="rId61" Type="http://schemas.openxmlformats.org/officeDocument/2006/relationships/image" Target="media/image24.png"/><Relationship Id="rId64" Type="http://schemas.openxmlformats.org/officeDocument/2006/relationships/image" Target="media/image77.png"/><Relationship Id="rId63" Type="http://schemas.openxmlformats.org/officeDocument/2006/relationships/image" Target="media/image101.png"/><Relationship Id="rId66" Type="http://schemas.openxmlformats.org/officeDocument/2006/relationships/image" Target="media/image38.png"/><Relationship Id="rId65" Type="http://schemas.openxmlformats.org/officeDocument/2006/relationships/image" Target="media/image54.png"/><Relationship Id="rId68" Type="http://schemas.openxmlformats.org/officeDocument/2006/relationships/image" Target="media/image51.png"/><Relationship Id="rId67" Type="http://schemas.openxmlformats.org/officeDocument/2006/relationships/image" Target="media/image41.jpg"/><Relationship Id="rId60" Type="http://schemas.openxmlformats.org/officeDocument/2006/relationships/image" Target="media/image40.png"/><Relationship Id="rId69" Type="http://schemas.openxmlformats.org/officeDocument/2006/relationships/image" Target="media/image23.png"/><Relationship Id="rId51" Type="http://schemas.openxmlformats.org/officeDocument/2006/relationships/image" Target="media/image69.png"/><Relationship Id="rId50" Type="http://schemas.openxmlformats.org/officeDocument/2006/relationships/image" Target="media/image84.png"/><Relationship Id="rId53" Type="http://schemas.openxmlformats.org/officeDocument/2006/relationships/image" Target="media/image86.png"/><Relationship Id="rId52" Type="http://schemas.openxmlformats.org/officeDocument/2006/relationships/image" Target="media/image9.png"/><Relationship Id="rId55" Type="http://schemas.openxmlformats.org/officeDocument/2006/relationships/image" Target="media/image100.png"/><Relationship Id="rId54" Type="http://schemas.openxmlformats.org/officeDocument/2006/relationships/image" Target="media/image98.png"/><Relationship Id="rId57" Type="http://schemas.openxmlformats.org/officeDocument/2006/relationships/image" Target="media/image64.png"/><Relationship Id="rId56" Type="http://schemas.openxmlformats.org/officeDocument/2006/relationships/image" Target="media/image81.png"/><Relationship Id="rId59" Type="http://schemas.openxmlformats.org/officeDocument/2006/relationships/image" Target="media/image60.png"/><Relationship Id="rId5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v+l/OziJ6Mkghp2oJGrOh8vkQ==">CgMxLjAaJAoBMBIfCh0IB0IZCgVBcmlhbBIQQXJpYWwgVW5pY29kZSBNUzIKaWQuMzBqMHpsbDIKaWQuMWZvYjl0ZTIKaWQuM3pueXNoNzIKaWQuMmV0OTJwMDIJaWQudHlqY3d0MgppZC4zZHk2dmttMgppZC4xdDNoNXNmMgppZC40ZDM0b2c4OAByITFSYThLOHUtTEttNHlsT0FqNkVnYjFIZTdLdUduclJ3SQ==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2024-01-22T15:05:00Z</dcterms:created>
  <dc:creator>Windows User</dc:creator>
</cp:coreProperties>
</file>